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Theme="minorEastAsia"/>
          <w:b/>
          <w:sz w:val="48"/>
          <w:szCs w:val="48"/>
          <w:lang w:eastAsia="zh-CN"/>
        </w:rPr>
      </w:pPr>
      <w:r>
        <w:rPr>
          <w:rFonts w:hint="eastAsia" w:ascii="宋体" w:hAnsi="宋体"/>
          <w:b/>
          <w:sz w:val="48"/>
          <w:szCs w:val="48"/>
          <w:lang w:eastAsia="zh-CN"/>
        </w:rPr>
        <w:t>附件：</w:t>
      </w:r>
    </w:p>
    <w:p>
      <w:pPr>
        <w:jc w:val="center"/>
        <w:rPr>
          <w:rFonts w:hint="eastAsia" w:ascii="宋体" w:hAnsi="宋体"/>
          <w:b/>
          <w:sz w:val="48"/>
          <w:szCs w:val="48"/>
        </w:rPr>
      </w:pPr>
      <w:bookmarkStart w:id="0" w:name="_GoBack"/>
      <w:r>
        <w:rPr>
          <w:rFonts w:hint="eastAsia" w:ascii="宋体" w:hAnsi="宋体"/>
          <w:b/>
          <w:sz w:val="48"/>
          <w:szCs w:val="48"/>
        </w:rPr>
        <w:t>需求概况</w:t>
      </w:r>
    </w:p>
    <w:bookmarkEnd w:id="0"/>
    <w:tbl>
      <w:tblPr>
        <w:tblStyle w:val="8"/>
        <w:tblW w:w="1130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77"/>
        <w:gridCol w:w="6309"/>
        <w:gridCol w:w="709"/>
        <w:gridCol w:w="709"/>
        <w:gridCol w:w="857"/>
        <w:gridCol w:w="7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17" w:type="dxa"/>
            <w:tcBorders>
              <w:top w:val="single" w:color="6F9731" w:sz="4" w:space="0"/>
              <w:left w:val="single" w:color="DBEBC2" w:sz="4" w:space="0"/>
              <w:bottom w:val="single" w:color="6F9731" w:sz="4" w:space="0"/>
              <w:right w:val="single" w:color="DBEBC2" w:sz="4" w:space="0"/>
            </w:tcBorders>
            <w:shd w:val="clear" w:color="auto" w:fill="A4CD66"/>
            <w:noWrap w:val="0"/>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177" w:type="dxa"/>
            <w:tcBorders>
              <w:top w:val="single" w:color="6F9731" w:sz="4" w:space="0"/>
              <w:left w:val="single" w:color="DBEBC2" w:sz="4" w:space="0"/>
              <w:bottom w:val="single" w:color="6F9731" w:sz="4" w:space="0"/>
              <w:right w:val="single" w:color="DBEBC2" w:sz="4" w:space="0"/>
            </w:tcBorders>
            <w:shd w:val="clear" w:color="auto" w:fill="A4CD66"/>
            <w:noWrap w:val="0"/>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名 称</w:t>
            </w:r>
          </w:p>
        </w:tc>
        <w:tc>
          <w:tcPr>
            <w:tcW w:w="6309" w:type="dxa"/>
            <w:tcBorders>
              <w:top w:val="single" w:color="6F9731" w:sz="4" w:space="0"/>
              <w:left w:val="single" w:color="DBEBC2" w:sz="4" w:space="0"/>
              <w:bottom w:val="single" w:color="6F9731" w:sz="4" w:space="0"/>
              <w:right w:val="single" w:color="DBEBC2" w:sz="4" w:space="0"/>
            </w:tcBorders>
            <w:shd w:val="clear" w:color="auto" w:fill="A4CD66"/>
            <w:noWrap w:val="0"/>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主要技术参数（或服务要求）</w:t>
            </w:r>
          </w:p>
        </w:tc>
        <w:tc>
          <w:tcPr>
            <w:tcW w:w="709" w:type="dxa"/>
            <w:tcBorders>
              <w:top w:val="single" w:color="6F9731" w:sz="4" w:space="0"/>
              <w:left w:val="single" w:color="DBEBC2" w:sz="4" w:space="0"/>
              <w:bottom w:val="single" w:color="6F9731" w:sz="4" w:space="0"/>
              <w:right w:val="single" w:color="DBEBC2" w:sz="4" w:space="0"/>
            </w:tcBorders>
            <w:shd w:val="clear" w:color="auto" w:fill="A4CD66"/>
            <w:noWrap w:val="0"/>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数量</w:t>
            </w:r>
          </w:p>
        </w:tc>
        <w:tc>
          <w:tcPr>
            <w:tcW w:w="709" w:type="dxa"/>
            <w:tcBorders>
              <w:top w:val="single" w:color="6F9731" w:sz="4" w:space="0"/>
              <w:left w:val="single" w:color="DBEBC2" w:sz="4" w:space="0"/>
              <w:bottom w:val="single" w:color="6F9731" w:sz="4" w:space="0"/>
              <w:right w:val="single" w:color="DBEBC2" w:sz="4" w:space="0"/>
            </w:tcBorders>
            <w:shd w:val="clear" w:color="auto" w:fill="A4CD66"/>
            <w:noWrap w:val="0"/>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单位</w:t>
            </w:r>
          </w:p>
        </w:tc>
        <w:tc>
          <w:tcPr>
            <w:tcW w:w="857" w:type="dxa"/>
            <w:tcBorders>
              <w:top w:val="single" w:color="6F9731" w:sz="4" w:space="0"/>
              <w:left w:val="single" w:color="DBEBC2" w:sz="4" w:space="0"/>
              <w:bottom w:val="single" w:color="6F9731" w:sz="4" w:space="0"/>
              <w:right w:val="single" w:color="DBEBC2" w:sz="4" w:space="0"/>
            </w:tcBorders>
            <w:shd w:val="clear" w:color="auto" w:fill="A4CD66"/>
            <w:noWrap w:val="0"/>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单价（元）</w:t>
            </w:r>
          </w:p>
        </w:tc>
        <w:tc>
          <w:tcPr>
            <w:tcW w:w="730" w:type="dxa"/>
            <w:tcBorders>
              <w:top w:val="single" w:color="6F9731" w:sz="4" w:space="0"/>
              <w:left w:val="single" w:color="DBEBC2" w:sz="4" w:space="0"/>
              <w:bottom w:val="single" w:color="6F9731" w:sz="4" w:space="0"/>
              <w:right w:val="single" w:color="DBEBC2" w:sz="4" w:space="0"/>
            </w:tcBorders>
            <w:shd w:val="clear" w:color="auto" w:fill="A4CD66"/>
            <w:noWrap w:val="0"/>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17" w:type="dxa"/>
            <w:tcBorders>
              <w:top w:val="single" w:color="6F9731" w:sz="4" w:space="0"/>
              <w:left w:val="single" w:color="DBEBC2" w:sz="4" w:space="0"/>
              <w:bottom w:val="single" w:color="DBEBC2" w:sz="4" w:space="0"/>
              <w:right w:val="single" w:color="DBEBC2" w:sz="4" w:space="0"/>
            </w:tcBorders>
            <w:shd w:val="clear" w:color="auto" w:fill="A4CD66"/>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1</w:t>
            </w:r>
          </w:p>
        </w:tc>
        <w:tc>
          <w:tcPr>
            <w:tcW w:w="1177" w:type="dxa"/>
            <w:tcBorders>
              <w:top w:val="single" w:color="6F9731" w:sz="4" w:space="0"/>
              <w:left w:val="single" w:color="DBEBC2" w:sz="4" w:space="0"/>
              <w:bottom w:val="single" w:color="DBEBC2" w:sz="4" w:space="0"/>
              <w:right w:val="single" w:color="DBEBC2" w:sz="4" w:space="0"/>
            </w:tcBorders>
            <w:shd w:val="clear" w:color="auto" w:fill="EEF6E1"/>
            <w:noWrap w:val="0"/>
            <w:vAlign w:val="center"/>
          </w:tcPr>
          <w:p>
            <w:pPr>
              <w:autoSpaceDE w:val="0"/>
              <w:autoSpaceDN w:val="0"/>
              <w:adjustRightInd w:val="0"/>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▲安徽电子信息职业技术学院高职扩招线上学习资源和学习管理服务</w:t>
            </w:r>
          </w:p>
        </w:tc>
        <w:tc>
          <w:tcPr>
            <w:tcW w:w="6309" w:type="dxa"/>
            <w:tcBorders>
              <w:top w:val="single" w:color="6F9731" w:sz="4" w:space="0"/>
              <w:left w:val="single" w:color="DBEBC2" w:sz="4" w:space="0"/>
              <w:bottom w:val="single" w:color="DBEBC2" w:sz="4" w:space="0"/>
              <w:right w:val="single" w:color="DBEBC2" w:sz="4" w:space="0"/>
            </w:tcBorders>
            <w:shd w:val="clear" w:color="auto" w:fill="FFFFFF"/>
            <w:noWrap w:val="0"/>
            <w:vAlign w:val="top"/>
          </w:tcPr>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一</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、技术要求</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1、教学教务管理平台</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教学教务管理平台必须能够保证我院管理员和教学站点对教学过程中所涉及到学籍、教务等一系列的教务工作进行信息化管理。包含但不限于以下功能模块：</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 ★学生信息管理：</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实现学生信息数据批量导入及单独导入等。</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 ★学籍管理：要求和现有教务系统数据对接，体现学籍状态和过程数据</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 ★教学管理：实现学生开课、在线学习等功能；对学生线上形成考核标准进行管理；可记录学习轨迹、分析学生学习行为，记录</w:t>
            </w:r>
            <w:r>
              <w:rPr>
                <w:rFonts w:hint="eastAsia" w:ascii="宋体" w:hAnsi="宋体" w:eastAsia="宋体" w:cs="宋体"/>
                <w:color w:val="000000" w:themeColor="text1"/>
                <w:sz w:val="28"/>
                <w:szCs w:val="28"/>
                <w:lang w:val="en-US" w:eastAsia="zh-CN"/>
                <w14:textFill>
                  <w14:solidFill>
                    <w14:schemeClr w14:val="tx1"/>
                  </w14:solidFill>
                </w14:textFill>
              </w:rPr>
              <w:t>教师、学生</w:t>
            </w:r>
            <w:r>
              <w:rPr>
                <w:rFonts w:hint="eastAsia" w:ascii="宋体" w:hAnsi="宋体" w:eastAsia="宋体" w:cs="宋体"/>
                <w:color w:val="000000" w:themeColor="text1"/>
                <w:sz w:val="28"/>
                <w:szCs w:val="28"/>
                <w14:textFill>
                  <w14:solidFill>
                    <w14:schemeClr w14:val="tx1"/>
                  </w14:solidFill>
                </w14:textFill>
              </w:rPr>
              <w:t>看课件的时长、登录次数。</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  ★教学资源：</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1.4.1提供的平台课程资源，应符合高职高专专项教育的课程资源（适应高职扩招学生的课程资源），应充分体现高职教育的特色，难易适度、深浅适度、通俗易懂、直观生动、理论联系实际，便于自学。教学视频、教学课件、电子作业、参考资料等内容较新，并及时更新，课程匹配率达到要求95%以上。</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1.4.2平台应支持移动端离线学习，提供离线学习的操作流程（附标书中）及进行现场演示。</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1.4.3 平台上的教学视频、课件等课程资源内容新颖、录制技术先进，100%的课程资源有版权或授权证明。</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1.4.4 所有课件必须保证720P及以上的清晰度。</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1.4.5 我院管理员对在线学习状态进行实时抽查、监控和统计。随机抽查学生学习情况时，系统应显示学生的学习轨迹及结果。</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1.4.6 因高职扩招学生生源类型多样，为了便于教师开展个性化教学，平台需提供教学资源建设功能，实现教师可以从中查找并添加课程相关的教学参考书、视频，推荐给学生，支持在线阅读和点播。</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1.4.7支持视频中任意时间点插入测验：上传视频后，可以在任意时间点插入测试题，包含单选题、多选题和对错题。</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1.4.8支持视频中任意时间点插入图片或PPT：可以在任意时间点插入图片或PPT，同时支持对插入的内容在时间轴上随意拖动。插入的PPT可以任意拖动位置，并可以跟视频窗口进行切换。</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1.4.9支持教学任务点或类似功能设计，教师可以将课程章节内视频、图书、作业等内容设置为任务点。学生端可以看到整个课程和每个章节需要完成的任务点情况，每完成一个任务自动开启下一个任务点，提供按任务点完成情况考核的功能。</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  考务管理：每门课程均应有题库（至少3套试卷），实现在线考试发布提醒、成绩录入、成绩生成等业务的管理。</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  教材管理：平台上的课程，80%以上配有相应的电子教材供学生参看，且有出版物经营许可证。（应提供书面证明）</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1.7 查询统计：实现对学习情况、课程资源、成绩、毕业、学籍卡等数据查询、统计、导出等功能； </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1.8 权限管理：实现不同角色权限管理；</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1.9  线上作业及考试管理：实现题库管理每门课至少3套题，每套重复率低于30%、在线作业、试卷管理。</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2、学生学习平台</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 ★PC 端与移动端的任何数据保持同步，如学习进度，学生在任何终端上，都可以实现学习记录的持续性，系统也可对任何终端的学习行为进行监控，形成统计数据同步到教学教务管理平台，并根据课程考核权重设计计入考核。</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 供应商有Android/IOS/鸿蒙等独立开发的APP端学习平台，能确保网络教育的信息安全。提供APP端下载应用的操作流程（附标书中）及现场演示。满足教师可以在移动客户端编辑教案，在活动中添加位置签到、抢答、问卷、讨论、选人、互动直播、课程通知等教学活动。</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2.3 学生在门户网站凭借用户名密码经过身份认证登录后，学生页面应显示：个人基本信息、通知公告、课程学习、成绩信息、网上考试等，可以对联系方式通讯地址等易变更的个人信息进行修改，但对于姓名、性别、出生年月日，身份证号、专业、学籍号、学习成绩等重要原始信息均无权更改；</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2.4 明确每门课程综合成绩100分，可对考试成绩进行设定和综合，例如：平时成绩50%+线下期末考试成绩50%。平时成绩：视频学习50分；章节学习50分，系统自动生成综合成绩。60分为及格，对不及格人员进行统计汇总，并及时准确告知不及格学生</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2.5 学生可以在线学习，围绕课程可以查看课件、参考资料、课程视频、课程讨论、在线作业、课程测试等；</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2.6 学员可以进行交流互动，就学习过程遇到的问题进行讨论和互相反馈，教师可以进行评论。</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2.7 学员可以在线提问，实现在线辅导答疑。</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2.8 可以随机查询统计在线学习情况，观看视频时长、提交作业、参与课程讨论等情况；</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eastAsia="宋体" w:cs="宋体"/>
                <w:color w:val="000000" w:themeColor="text1"/>
                <w:sz w:val="28"/>
                <w:szCs w:val="28"/>
                <w:lang w:val="en-US" w:eastAsia="zh-CN"/>
                <w14:textFill>
                  <w14:solidFill>
                    <w14:schemeClr w14:val="tx1"/>
                  </w14:solidFill>
                </w14:textFill>
              </w:rPr>
              <w:t>9</w:t>
            </w:r>
            <w:r>
              <w:rPr>
                <w:rFonts w:hint="eastAsia" w:ascii="宋体" w:hAnsi="宋体" w:eastAsia="宋体" w:cs="宋体"/>
                <w:color w:val="000000" w:themeColor="text1"/>
                <w:sz w:val="28"/>
                <w:szCs w:val="28"/>
                <w14:textFill>
                  <w14:solidFill>
                    <w14:schemeClr w14:val="tx1"/>
                  </w14:solidFill>
                </w14:textFill>
              </w:rPr>
              <w:t xml:space="preserve"> PC 端的学习功能在移动端同步实现，如：课程学习、在线作业、考试、电子教材等；</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3、教师教学管理平台</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 教师通过身份认证登录后，可以查看并维护教师个人信息；</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 教师可以在线查看重要信息，包括：公告信息、课程信息、学生信息、课程成绩信息等；</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3.3 ★教师可在线辅导、答疑、上传资料、批改作业、查询统计等教学辅导类工作。</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 试卷管理：支持按题型分项导入、支持整套试卷整体导入（需进行现场演示）</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4、数据分析系统功能要求</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4.1 实时多角度统计分析学生学习动态及相关数据；</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4.2 具备图形化、可视化的操作界面，并可实现数据的导入导出。</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5、用户行为记录及分析系统</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5.1 随时可以专业、课程等多维度分析用户在线学习情况，为管理者提供决策支持；</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5.2 提供完整的用户操作手册。</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6、督学导学系统</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6.1 ★可及时准确推送通知到每位学生平台，提醒学员参与教学活动或其他事情。</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6.2 可查询的信息内容包含但不限于如下：考试未通过学生查询、作业完成情况查询、参与在线答疑情况、不合格科目查询统计等。</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二</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、其他要求</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1、产品质量：产品质保期自验收合格签字之日起计算。质保期36个月，质保期内乙方免费维护，免费对产品相关软件和数据资料升级，乙方每年两次上门巡检。</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2、技术培训：乙方免费对甲方人员进行培训，保证甲方人员能够熟练独立操作，主要内容包括系统的管理维护培训、安全操作培训等内容。</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3、项目分三年执行，每年甲方对乙方提供的资源及服务情况进行综合评定，评定合格后每年按项目成交金额1/3支付费用给乙方。 </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★提供的软件和资源为自主知识产权产品，并有在全国大中专院校有一定应用基础。</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中标供应商需提供方案，保证中标线上学习资源和学习管理服务能够支持高职扩招学生的正常教学，确保学生和教师正常开展人才培养方案全部课程的学习，保留并提供学习全过程（含原平台）的学习记录及成绩。</w:t>
            </w:r>
          </w:p>
        </w:tc>
        <w:tc>
          <w:tcPr>
            <w:tcW w:w="709" w:type="dxa"/>
            <w:tcBorders>
              <w:top w:val="single" w:color="6F9731" w:sz="4" w:space="0"/>
              <w:left w:val="single" w:color="DBEBC2" w:sz="4" w:space="0"/>
              <w:bottom w:val="single" w:color="DBEBC2" w:sz="4" w:space="0"/>
              <w:right w:val="single" w:color="DBEBC2" w:sz="4" w:space="0"/>
            </w:tcBorders>
            <w:shd w:val="clear" w:color="auto" w:fill="EEF6E1"/>
            <w:noWrap w:val="0"/>
            <w:vAlign w:val="center"/>
          </w:tcPr>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w:t>
            </w:r>
          </w:p>
        </w:tc>
        <w:tc>
          <w:tcPr>
            <w:tcW w:w="709" w:type="dxa"/>
            <w:tcBorders>
              <w:top w:val="single" w:color="6F9731" w:sz="4" w:space="0"/>
              <w:left w:val="single" w:color="DBEBC2" w:sz="4" w:space="0"/>
              <w:bottom w:val="single" w:color="DBEBC2" w:sz="4" w:space="0"/>
              <w:right w:val="single" w:color="DBEBC2" w:sz="4" w:space="0"/>
            </w:tcBorders>
            <w:shd w:val="clear" w:color="auto" w:fill="FFFFFF"/>
            <w:noWrap w:val="0"/>
            <w:vAlign w:val="center"/>
          </w:tcPr>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套</w:t>
            </w:r>
          </w:p>
        </w:tc>
        <w:tc>
          <w:tcPr>
            <w:tcW w:w="857" w:type="dxa"/>
            <w:tcBorders>
              <w:top w:val="single" w:color="6F9731" w:sz="4" w:space="0"/>
              <w:left w:val="single" w:color="DBEBC2" w:sz="4" w:space="0"/>
              <w:bottom w:val="single" w:color="DBEBC2" w:sz="4" w:space="0"/>
              <w:right w:val="single" w:color="DBEBC2" w:sz="4" w:space="0"/>
            </w:tcBorders>
            <w:shd w:val="clear" w:color="auto" w:fill="EEF6E1"/>
            <w:noWrap w:val="0"/>
            <w:vAlign w:val="center"/>
          </w:tcPr>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p>
        </w:tc>
        <w:tc>
          <w:tcPr>
            <w:tcW w:w="730" w:type="dxa"/>
            <w:tcBorders>
              <w:top w:val="single" w:color="6F9731" w:sz="4" w:space="0"/>
              <w:left w:val="single" w:color="DBEBC2" w:sz="4" w:space="0"/>
              <w:bottom w:val="single" w:color="DBEBC2" w:sz="4" w:space="0"/>
              <w:right w:val="single" w:color="DBEBC2" w:sz="4" w:space="0"/>
            </w:tcBorders>
            <w:shd w:val="clear" w:color="auto" w:fill="FFFFFF"/>
            <w:noWrap w:val="0"/>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94" w:type="dxa"/>
            <w:gridSpan w:val="2"/>
            <w:tcBorders>
              <w:top w:val="single" w:color="DBEBC2" w:sz="4" w:space="0"/>
              <w:left w:val="single" w:color="DBEBC2" w:sz="4" w:space="0"/>
              <w:bottom w:val="single" w:color="6F9731" w:sz="4" w:space="0"/>
              <w:right w:val="single" w:color="DBEBC2" w:sz="4" w:space="0"/>
            </w:tcBorders>
            <w:shd w:val="clear" w:color="auto" w:fill="A4CD66"/>
            <w:noWrap w:val="0"/>
            <w:vAlign w:val="center"/>
          </w:tcPr>
          <w:p>
            <w:pPr>
              <w:autoSpaceDE w:val="0"/>
              <w:autoSpaceDN w:val="0"/>
              <w:adjustRightInd w:val="0"/>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本包投标人资质和要求</w:t>
            </w:r>
          </w:p>
        </w:tc>
        <w:tc>
          <w:tcPr>
            <w:tcW w:w="8584" w:type="dxa"/>
            <w:gridSpan w:val="4"/>
            <w:tcBorders>
              <w:top w:val="single" w:color="DBEBC2" w:sz="4" w:space="0"/>
              <w:left w:val="single" w:color="DBEBC2" w:sz="4" w:space="0"/>
              <w:bottom w:val="single" w:color="6F9731" w:sz="4" w:space="0"/>
              <w:right w:val="single" w:color="DBEBC2" w:sz="4" w:space="0"/>
            </w:tcBorders>
            <w:shd w:val="clear" w:color="auto" w:fill="EEF6E1"/>
            <w:noWrap w:val="0"/>
            <w:vAlign w:val="center"/>
          </w:tcPr>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一</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、投标人的资质和要求（不能以注册资金和特定区域及行业业绩作为限制条件）</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1、符合《中华人民共和国政府采购法》第二十二条规定；</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2、供信用中国网 “失信被执行人”和“重大税收违法案件当事人名单”，“中国政府采购”网站的“政府采购严重违法失信行为名单”查询结果页面截图加盖报名单位公章；若有不良记录报名无效，执行财库[2016]125号文。</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3、本次招标不接受联合体投标，投标单位负责人为同一人或者存在直接控股、管理关系的不同供应商，不得同时参加同一包的采购活动。</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注：</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填写供应商资质等要求，如无特殊要求可不填写。</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二</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、交货地点：安徽电子信息职业技术学院</w:t>
            </w:r>
          </w:p>
          <w:p>
            <w:pPr>
              <w:autoSpaceDE w:val="0"/>
              <w:autoSpaceDN w:val="0"/>
              <w:adjustRightInd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三</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、工期： 30日历天</w:t>
            </w:r>
          </w:p>
        </w:tc>
        <w:tc>
          <w:tcPr>
            <w:tcW w:w="730" w:type="dxa"/>
            <w:tcBorders>
              <w:top w:val="single" w:color="DBEBC2" w:sz="4" w:space="0"/>
              <w:left w:val="single" w:color="DBEBC2" w:sz="4" w:space="0"/>
              <w:bottom w:val="single" w:color="6F9731" w:sz="4" w:space="0"/>
              <w:right w:val="single" w:color="DBEBC2" w:sz="4" w:space="0"/>
            </w:tcBorders>
            <w:shd w:val="clear" w:color="auto" w:fill="EEF6E1"/>
            <w:noWrap w:val="0"/>
            <w:vAlign w:val="center"/>
          </w:tcPr>
          <w:p>
            <w:pPr>
              <w:widowControl/>
              <w:jc w:val="left"/>
              <w:rPr>
                <w:rFonts w:hint="eastAsia" w:ascii="宋体" w:hAnsi="宋体" w:eastAsia="宋体" w:cs="宋体"/>
                <w:color w:val="000000"/>
                <w:sz w:val="24"/>
                <w:szCs w:val="24"/>
              </w:rPr>
            </w:pPr>
          </w:p>
        </w:tc>
      </w:tr>
    </w:tbl>
    <w:p>
      <w:pPr>
        <w:spacing w:line="360" w:lineRule="auto"/>
        <w:rPr>
          <w:rFonts w:hint="eastAsia" w:ascii="宋体" w:hAnsi="宋体" w:eastAsia="宋体" w:cs="宋体"/>
          <w:b/>
          <w:sz w:val="32"/>
          <w:szCs w:val="32"/>
        </w:rPr>
      </w:pPr>
    </w:p>
    <w:p>
      <w:pPr>
        <w:spacing w:line="360" w:lineRule="auto"/>
        <w:rPr>
          <w:rFonts w:hint="eastAsia" w:ascii="宋体" w:hAnsi="宋体" w:eastAsia="宋体" w:cs="宋体"/>
          <w:b/>
          <w:sz w:val="32"/>
          <w:szCs w:val="32"/>
        </w:rPr>
      </w:pPr>
    </w:p>
    <w:p>
      <w:pPr>
        <w:spacing w:line="360" w:lineRule="auto"/>
        <w:ind w:firstLine="3855" w:firstLineChars="800"/>
        <w:jc w:val="both"/>
        <w:rPr>
          <w:rFonts w:hint="eastAsia" w:ascii="宋体" w:hAnsi="宋体" w:eastAsia="宋体" w:cs="宋体"/>
          <w:b/>
          <w:sz w:val="48"/>
          <w:szCs w:val="48"/>
        </w:rPr>
      </w:pPr>
    </w:p>
    <w:p>
      <w:pPr>
        <w:jc w:val="center"/>
        <w:rPr>
          <w:rFonts w:hint="eastAsia" w:ascii="宋体" w:hAnsi="宋体"/>
          <w:b/>
          <w:sz w:val="48"/>
          <w:szCs w:val="48"/>
        </w:rPr>
      </w:pPr>
      <w:r>
        <w:rPr>
          <w:rFonts w:hint="eastAsia" w:ascii="宋体" w:hAnsi="宋体"/>
          <w:b/>
          <w:sz w:val="48"/>
          <w:szCs w:val="48"/>
        </w:rPr>
        <w:t>服务需求</w:t>
      </w:r>
    </w:p>
    <w:p>
      <w:pPr>
        <w:ind w:firstLine="632" w:firstLineChars="225"/>
        <w:rPr>
          <w:rFonts w:hint="eastAsia" w:ascii="宋体" w:hAnsi="宋体" w:eastAsia="宋体" w:cs="宋体"/>
          <w:b/>
          <w:sz w:val="28"/>
          <w:szCs w:val="28"/>
        </w:rPr>
      </w:pPr>
      <w:r>
        <w:rPr>
          <w:rFonts w:hint="eastAsia" w:ascii="宋体" w:hAnsi="宋体" w:eastAsia="宋体" w:cs="宋体"/>
          <w:b/>
          <w:sz w:val="28"/>
          <w:szCs w:val="28"/>
        </w:rPr>
        <w:t>（一）技术要求</w:t>
      </w:r>
    </w:p>
    <w:p>
      <w:pPr>
        <w:ind w:firstLine="630" w:firstLineChars="225"/>
        <w:rPr>
          <w:rFonts w:hint="eastAsia" w:ascii="宋体" w:hAnsi="宋体" w:eastAsia="宋体" w:cs="宋体"/>
          <w:sz w:val="28"/>
          <w:szCs w:val="28"/>
        </w:rPr>
      </w:pPr>
      <w:r>
        <w:rPr>
          <w:rFonts w:hint="eastAsia" w:ascii="宋体" w:hAnsi="宋体" w:eastAsia="宋体" w:cs="宋体"/>
          <w:sz w:val="28"/>
          <w:szCs w:val="28"/>
        </w:rPr>
        <w:t>1.数据库存储指标</w:t>
      </w:r>
    </w:p>
    <w:p>
      <w:pPr>
        <w:ind w:firstLine="630" w:firstLineChars="225"/>
        <w:rPr>
          <w:rFonts w:hint="eastAsia" w:ascii="宋体" w:hAnsi="宋体" w:eastAsia="宋体" w:cs="宋体"/>
          <w:sz w:val="28"/>
          <w:szCs w:val="28"/>
        </w:rPr>
      </w:pPr>
      <w:r>
        <w:rPr>
          <w:rFonts w:hint="eastAsia" w:ascii="宋体" w:hAnsi="宋体" w:eastAsia="宋体" w:cs="宋体"/>
          <w:sz w:val="28"/>
          <w:szCs w:val="28"/>
        </w:rPr>
        <w:t>1)数据库引擎，应使用对象关系数据库产品（如Postgresql9.3、MongoDB3及以上产品）；</w:t>
      </w:r>
    </w:p>
    <w:p>
      <w:pPr>
        <w:ind w:firstLine="630" w:firstLineChars="225"/>
        <w:rPr>
          <w:rFonts w:hint="eastAsia" w:ascii="宋体" w:hAnsi="宋体" w:eastAsia="宋体" w:cs="宋体"/>
          <w:sz w:val="28"/>
          <w:szCs w:val="28"/>
        </w:rPr>
      </w:pPr>
      <w:r>
        <w:rPr>
          <w:rFonts w:hint="eastAsia" w:ascii="宋体" w:hAnsi="宋体" w:eastAsia="宋体" w:cs="宋体"/>
          <w:sz w:val="28"/>
          <w:szCs w:val="28"/>
        </w:rPr>
        <w:t>2)系统必须支持非结构性数据存储，支持海量非结构化数据存储（word、PPT、图片、视频等），存储容量必须支持PB以上；</w:t>
      </w:r>
    </w:p>
    <w:p>
      <w:pPr>
        <w:ind w:firstLine="630" w:firstLineChars="225"/>
        <w:rPr>
          <w:rFonts w:hint="eastAsia" w:ascii="宋体" w:hAnsi="宋体" w:eastAsia="宋体" w:cs="宋体"/>
          <w:sz w:val="28"/>
          <w:szCs w:val="28"/>
        </w:rPr>
      </w:pPr>
      <w:r>
        <w:rPr>
          <w:rFonts w:hint="eastAsia" w:ascii="宋体" w:hAnsi="宋体" w:eastAsia="宋体" w:cs="宋体"/>
          <w:sz w:val="28"/>
          <w:szCs w:val="28"/>
        </w:rPr>
        <w:t>3)系统需支持TB级单个文件上传。</w:t>
      </w:r>
    </w:p>
    <w:p>
      <w:pPr>
        <w:ind w:firstLine="630" w:firstLineChars="225"/>
        <w:rPr>
          <w:rFonts w:hint="eastAsia" w:ascii="宋体" w:hAnsi="宋体" w:eastAsia="宋体" w:cs="宋体"/>
          <w:sz w:val="28"/>
          <w:szCs w:val="28"/>
        </w:rPr>
      </w:pPr>
      <w:r>
        <w:rPr>
          <w:rFonts w:hint="eastAsia" w:ascii="宋体" w:hAnsi="宋体" w:eastAsia="宋体" w:cs="宋体"/>
          <w:sz w:val="28"/>
          <w:szCs w:val="28"/>
        </w:rPr>
        <w:t>2.前端开发语言指标</w:t>
      </w:r>
    </w:p>
    <w:p>
      <w:pPr>
        <w:ind w:firstLine="630" w:firstLineChars="225"/>
        <w:rPr>
          <w:rFonts w:hint="eastAsia" w:ascii="宋体" w:hAnsi="宋体" w:eastAsia="宋体" w:cs="宋体"/>
          <w:sz w:val="28"/>
          <w:szCs w:val="28"/>
        </w:rPr>
      </w:pPr>
      <w:r>
        <w:rPr>
          <w:rFonts w:hint="eastAsia" w:ascii="宋体" w:hAnsi="宋体" w:eastAsia="宋体" w:cs="宋体"/>
          <w:sz w:val="28"/>
          <w:szCs w:val="28"/>
        </w:rPr>
        <w:t>1)PC端应采用主流的HTML、javascript、CSS等语言和主流的Vue.js、YUI、jQuery和bootstrap等框架开发；需使用freemarker类似的模板语言为前端的渲染引擎，以保证前端的复用性；</w:t>
      </w:r>
    </w:p>
    <w:p>
      <w:pPr>
        <w:ind w:firstLine="630" w:firstLineChars="225"/>
        <w:rPr>
          <w:rFonts w:hint="eastAsia" w:ascii="宋体" w:hAnsi="宋体" w:eastAsia="宋体" w:cs="宋体"/>
          <w:sz w:val="28"/>
          <w:szCs w:val="28"/>
        </w:rPr>
      </w:pPr>
      <w:r>
        <w:rPr>
          <w:rFonts w:hint="eastAsia" w:ascii="宋体" w:hAnsi="宋体" w:eastAsia="宋体" w:cs="宋体"/>
          <w:sz w:val="28"/>
          <w:szCs w:val="28"/>
        </w:rPr>
        <w:t>3.服务端开发语言指标</w:t>
      </w:r>
    </w:p>
    <w:p>
      <w:pPr>
        <w:ind w:firstLine="630" w:firstLineChars="225"/>
        <w:rPr>
          <w:rFonts w:hint="eastAsia" w:ascii="宋体" w:hAnsi="宋体" w:eastAsia="宋体" w:cs="宋体"/>
          <w:sz w:val="28"/>
          <w:szCs w:val="28"/>
        </w:rPr>
      </w:pPr>
      <w:r>
        <w:rPr>
          <w:rFonts w:hint="eastAsia" w:ascii="宋体" w:hAnsi="宋体" w:eastAsia="宋体" w:cs="宋体"/>
          <w:sz w:val="28"/>
          <w:szCs w:val="28"/>
        </w:rPr>
        <w:t>服务端需支持跨系统语言（如JAVA）进行开发，应采用主流框架（如spring）和对接数据框架（如Mybatis），以保证系统扩展性。</w:t>
      </w:r>
    </w:p>
    <w:p>
      <w:pPr>
        <w:ind w:firstLine="630" w:firstLineChars="225"/>
        <w:rPr>
          <w:rFonts w:hint="eastAsia" w:ascii="宋体" w:hAnsi="宋体" w:eastAsia="宋体" w:cs="宋体"/>
          <w:sz w:val="28"/>
          <w:szCs w:val="28"/>
        </w:rPr>
      </w:pPr>
      <w:r>
        <w:rPr>
          <w:rFonts w:hint="eastAsia" w:ascii="宋体" w:hAnsi="宋体" w:eastAsia="宋体" w:cs="宋体"/>
          <w:sz w:val="28"/>
          <w:szCs w:val="28"/>
        </w:rPr>
        <w:t>4.支撑软件指标</w:t>
      </w:r>
    </w:p>
    <w:p>
      <w:pPr>
        <w:ind w:firstLine="630" w:firstLineChars="225"/>
        <w:rPr>
          <w:rFonts w:hint="eastAsia" w:ascii="宋体" w:hAnsi="宋体" w:eastAsia="宋体" w:cs="宋体"/>
          <w:sz w:val="28"/>
          <w:szCs w:val="28"/>
        </w:rPr>
      </w:pPr>
      <w:r>
        <w:rPr>
          <w:rFonts w:hint="eastAsia" w:ascii="宋体" w:hAnsi="宋体" w:eastAsia="宋体" w:cs="宋体"/>
          <w:sz w:val="28"/>
          <w:szCs w:val="28"/>
        </w:rPr>
        <w:t>1)平台应支持非Windows操作系统部署（如：CentOS 6.5、Ubuntu10.0.4及以上）；</w:t>
      </w:r>
    </w:p>
    <w:p>
      <w:pPr>
        <w:ind w:firstLine="630" w:firstLineChars="225"/>
        <w:rPr>
          <w:rFonts w:hint="eastAsia" w:ascii="宋体" w:hAnsi="宋体" w:eastAsia="宋体" w:cs="宋体"/>
          <w:sz w:val="28"/>
          <w:szCs w:val="28"/>
        </w:rPr>
      </w:pPr>
      <w:r>
        <w:rPr>
          <w:rFonts w:hint="eastAsia" w:ascii="宋体" w:hAnsi="宋体" w:eastAsia="宋体" w:cs="宋体"/>
          <w:sz w:val="28"/>
          <w:szCs w:val="28"/>
        </w:rPr>
        <w:t>2)平台应使用Tomcat、Nginx等主流技术作为Web容器。</w:t>
      </w:r>
    </w:p>
    <w:p>
      <w:pPr>
        <w:ind w:firstLine="630" w:firstLineChars="225"/>
        <w:rPr>
          <w:rFonts w:hint="eastAsia" w:ascii="宋体" w:hAnsi="宋体" w:eastAsia="宋体" w:cs="宋体"/>
          <w:sz w:val="28"/>
          <w:szCs w:val="28"/>
        </w:rPr>
      </w:pPr>
      <w:r>
        <w:rPr>
          <w:rFonts w:hint="eastAsia" w:ascii="宋体" w:hAnsi="宋体" w:eastAsia="宋体" w:cs="宋体"/>
          <w:sz w:val="28"/>
          <w:szCs w:val="28"/>
        </w:rPr>
        <w:t>5.部署模式指标</w:t>
      </w:r>
    </w:p>
    <w:p>
      <w:pPr>
        <w:ind w:firstLine="630" w:firstLineChars="225"/>
        <w:rPr>
          <w:rFonts w:hint="eastAsia" w:ascii="宋体" w:hAnsi="宋体" w:eastAsia="宋体" w:cs="宋体"/>
          <w:sz w:val="28"/>
          <w:szCs w:val="28"/>
        </w:rPr>
      </w:pPr>
      <w:r>
        <w:rPr>
          <w:rFonts w:hint="eastAsia" w:ascii="宋体" w:hAnsi="宋体" w:eastAsia="宋体" w:cs="宋体"/>
          <w:sz w:val="28"/>
          <w:szCs w:val="28"/>
        </w:rPr>
        <w:t>1)平台应支持分布式集群部署，实际部署节点不少于2个；</w:t>
      </w:r>
    </w:p>
    <w:p>
      <w:pPr>
        <w:ind w:firstLine="630" w:firstLineChars="225"/>
        <w:rPr>
          <w:rFonts w:hint="eastAsia" w:ascii="宋体" w:hAnsi="宋体" w:eastAsia="宋体" w:cs="宋体"/>
          <w:sz w:val="28"/>
          <w:szCs w:val="28"/>
        </w:rPr>
      </w:pPr>
      <w:r>
        <w:rPr>
          <w:rFonts w:hint="eastAsia" w:ascii="宋体" w:hAnsi="宋体" w:eastAsia="宋体" w:cs="宋体"/>
          <w:sz w:val="28"/>
          <w:szCs w:val="28"/>
        </w:rPr>
        <w:t>2)平台必须部署负载均衡；</w:t>
      </w:r>
    </w:p>
    <w:p>
      <w:pPr>
        <w:ind w:firstLine="630" w:firstLineChars="225"/>
        <w:rPr>
          <w:rFonts w:hint="eastAsia" w:ascii="宋体" w:hAnsi="宋体" w:eastAsia="宋体" w:cs="宋体"/>
          <w:sz w:val="28"/>
          <w:szCs w:val="28"/>
        </w:rPr>
      </w:pPr>
      <w:r>
        <w:rPr>
          <w:rFonts w:hint="eastAsia" w:ascii="宋体" w:hAnsi="宋体" w:eastAsia="宋体" w:cs="宋体"/>
          <w:sz w:val="28"/>
          <w:szCs w:val="28"/>
        </w:rPr>
        <w:t>3)平台内容需采用CDN分发技术，支持课件视频的自动转码。</w:t>
      </w:r>
    </w:p>
    <w:p>
      <w:pPr>
        <w:ind w:firstLine="630" w:firstLineChars="225"/>
        <w:rPr>
          <w:rFonts w:hint="eastAsia" w:ascii="宋体" w:hAnsi="宋体" w:eastAsia="宋体" w:cs="宋体"/>
          <w:sz w:val="28"/>
          <w:szCs w:val="28"/>
        </w:rPr>
      </w:pPr>
      <w:r>
        <w:rPr>
          <w:rFonts w:hint="eastAsia" w:ascii="宋体" w:hAnsi="宋体" w:eastAsia="宋体" w:cs="宋体"/>
          <w:sz w:val="28"/>
          <w:szCs w:val="28"/>
        </w:rPr>
        <w:t>6.客户端指标</w:t>
      </w:r>
    </w:p>
    <w:p>
      <w:pPr>
        <w:ind w:firstLine="630" w:firstLineChars="225"/>
        <w:rPr>
          <w:rFonts w:hint="eastAsia" w:ascii="宋体" w:hAnsi="宋体" w:eastAsia="宋体" w:cs="宋体"/>
          <w:sz w:val="28"/>
          <w:szCs w:val="28"/>
        </w:rPr>
      </w:pPr>
      <w:r>
        <w:rPr>
          <w:rFonts w:hint="eastAsia" w:ascii="宋体" w:hAnsi="宋体" w:eastAsia="宋体" w:cs="宋体"/>
          <w:sz w:val="28"/>
          <w:szCs w:val="28"/>
        </w:rPr>
        <w:t>1)PC端，平台需支持Window操作系统IE、chrome等主流浏览器访问，支持Mac OS操作系统Safari浏览器服务；</w:t>
      </w:r>
    </w:p>
    <w:p>
      <w:pPr>
        <w:ind w:firstLine="630" w:firstLineChars="225"/>
        <w:rPr>
          <w:rFonts w:hint="eastAsia" w:ascii="宋体" w:hAnsi="宋体" w:eastAsia="宋体" w:cs="宋体"/>
          <w:sz w:val="28"/>
          <w:szCs w:val="28"/>
        </w:rPr>
      </w:pPr>
      <w:r>
        <w:rPr>
          <w:rFonts w:hint="eastAsia" w:ascii="宋体" w:hAnsi="宋体" w:eastAsia="宋体" w:cs="宋体"/>
          <w:sz w:val="28"/>
          <w:szCs w:val="28"/>
        </w:rPr>
        <w:t>2)移动端APP需支持Android4.4、IOS8.3版本及以上版本；</w:t>
      </w:r>
    </w:p>
    <w:p>
      <w:pPr>
        <w:ind w:firstLine="630" w:firstLineChars="225"/>
        <w:rPr>
          <w:rFonts w:hint="eastAsia" w:ascii="宋体" w:hAnsi="宋体" w:eastAsia="宋体" w:cs="宋体"/>
          <w:sz w:val="28"/>
          <w:szCs w:val="28"/>
        </w:rPr>
      </w:pPr>
      <w:r>
        <w:rPr>
          <w:rFonts w:hint="eastAsia" w:ascii="宋体" w:hAnsi="宋体" w:eastAsia="宋体" w:cs="宋体"/>
          <w:sz w:val="28"/>
          <w:szCs w:val="28"/>
        </w:rPr>
        <w:t>7.系统支撑能力指标</w:t>
      </w:r>
    </w:p>
    <w:p>
      <w:pPr>
        <w:ind w:firstLine="630" w:firstLineChars="225"/>
        <w:rPr>
          <w:rFonts w:hint="eastAsia" w:ascii="宋体" w:hAnsi="宋体" w:eastAsia="宋体" w:cs="宋体"/>
          <w:sz w:val="28"/>
          <w:szCs w:val="28"/>
        </w:rPr>
      </w:pPr>
      <w:r>
        <w:rPr>
          <w:rFonts w:hint="eastAsia" w:ascii="宋体" w:hAnsi="宋体" w:eastAsia="宋体" w:cs="宋体"/>
          <w:sz w:val="28"/>
          <w:szCs w:val="28"/>
        </w:rPr>
        <w:t>平台需支持多个应用系统的服务请求响应，能同时响应多个外部系统的多个反馈消息。能满足并发事件响应能力的需求，能杜绝消息阻塞、提高事务处理效率。能保证至少100,000人同时登陆，并能流畅地在线观看视频课件。</w:t>
      </w:r>
    </w:p>
    <w:p>
      <w:pPr>
        <w:ind w:firstLine="630" w:firstLineChars="225"/>
        <w:rPr>
          <w:rFonts w:hint="eastAsia" w:ascii="宋体" w:hAnsi="宋体" w:eastAsia="宋体" w:cs="宋体"/>
          <w:sz w:val="28"/>
          <w:szCs w:val="28"/>
        </w:rPr>
      </w:pPr>
      <w:r>
        <w:rPr>
          <w:rFonts w:hint="eastAsia" w:ascii="宋体" w:hAnsi="宋体" w:eastAsia="宋体" w:cs="宋体"/>
          <w:sz w:val="28"/>
          <w:szCs w:val="28"/>
        </w:rPr>
        <w:t>8.安全性指标</w:t>
      </w:r>
    </w:p>
    <w:p>
      <w:pPr>
        <w:ind w:firstLine="630" w:firstLineChars="225"/>
        <w:rPr>
          <w:rFonts w:hint="eastAsia" w:ascii="宋体" w:hAnsi="宋体" w:eastAsia="宋体" w:cs="宋体"/>
          <w:sz w:val="28"/>
          <w:szCs w:val="28"/>
        </w:rPr>
      </w:pPr>
      <w:r>
        <w:rPr>
          <w:rFonts w:hint="eastAsia" w:ascii="宋体" w:hAnsi="宋体" w:eastAsia="宋体" w:cs="宋体"/>
          <w:sz w:val="28"/>
          <w:szCs w:val="28"/>
        </w:rPr>
        <w:t>1)平台需能有效地防止常见的对于网站和信息系统的攻击；</w:t>
      </w:r>
    </w:p>
    <w:p>
      <w:pPr>
        <w:ind w:firstLine="630" w:firstLineChars="225"/>
        <w:rPr>
          <w:rFonts w:hint="eastAsia" w:ascii="宋体" w:hAnsi="宋体" w:eastAsia="宋体" w:cs="宋体"/>
          <w:sz w:val="28"/>
          <w:szCs w:val="28"/>
        </w:rPr>
      </w:pPr>
      <w:r>
        <w:rPr>
          <w:rFonts w:hint="eastAsia" w:ascii="宋体" w:hAnsi="宋体" w:eastAsia="宋体" w:cs="宋体"/>
          <w:sz w:val="28"/>
          <w:szCs w:val="28"/>
        </w:rPr>
        <w:t>2)平台资源在使用过程中需进行加密，确保资源不会被第三方非法获得。</w:t>
      </w:r>
    </w:p>
    <w:p>
      <w:pPr>
        <w:ind w:firstLine="630" w:firstLineChars="225"/>
        <w:rPr>
          <w:rFonts w:hint="eastAsia" w:ascii="宋体" w:hAnsi="宋体" w:eastAsia="宋体" w:cs="宋体"/>
          <w:sz w:val="28"/>
          <w:szCs w:val="28"/>
        </w:rPr>
      </w:pPr>
      <w:r>
        <w:rPr>
          <w:rFonts w:hint="eastAsia" w:ascii="宋体" w:hAnsi="宋体" w:eastAsia="宋体" w:cs="宋体"/>
          <w:sz w:val="28"/>
          <w:szCs w:val="28"/>
        </w:rPr>
        <w:t>3）系统应提供系统数据与应用安全的解决方案；实现每天的数据备份，包括手动备份和自动备份、数据库备份和单表备份；提供监控平台,7 x 24小时监控平台运行状况,与各性能指标。</w:t>
      </w:r>
    </w:p>
    <w:p>
      <w:pPr>
        <w:ind w:firstLine="630" w:firstLineChars="225"/>
        <w:rPr>
          <w:rFonts w:hint="eastAsia" w:ascii="宋体" w:hAnsi="宋体" w:eastAsia="宋体" w:cs="宋体"/>
          <w:sz w:val="28"/>
          <w:szCs w:val="28"/>
        </w:rPr>
      </w:pPr>
      <w:r>
        <w:rPr>
          <w:rFonts w:hint="eastAsia" w:ascii="宋体" w:hAnsi="宋体" w:eastAsia="宋体" w:cs="宋体"/>
          <w:sz w:val="28"/>
          <w:szCs w:val="28"/>
        </w:rPr>
        <w:t>4）系统必须具有严谨的数据关联性，对于已产生前后关联的数据，系统应具备有效的控制与提醒机制，不能够允许随意修改或删除，以防止误操作带来的数据安全隐患，能实现数据“一处修改，多处自动变化”。</w:t>
      </w:r>
    </w:p>
    <w:p>
      <w:pPr>
        <w:ind w:firstLine="630" w:firstLineChars="225"/>
        <w:rPr>
          <w:rFonts w:hint="eastAsia" w:ascii="宋体" w:hAnsi="宋体" w:eastAsia="宋体" w:cs="宋体"/>
          <w:sz w:val="28"/>
          <w:szCs w:val="28"/>
        </w:rPr>
      </w:pPr>
      <w:r>
        <w:rPr>
          <w:rFonts w:hint="eastAsia" w:ascii="宋体" w:hAnsi="宋体" w:eastAsia="宋体" w:cs="宋体"/>
          <w:sz w:val="28"/>
          <w:szCs w:val="28"/>
        </w:rPr>
        <w:t>9.信息标准</w:t>
      </w:r>
    </w:p>
    <w:p>
      <w:pPr>
        <w:ind w:firstLine="630" w:firstLineChars="225"/>
        <w:rPr>
          <w:rFonts w:hint="eastAsia" w:ascii="宋体" w:hAnsi="宋体" w:eastAsia="宋体" w:cs="宋体"/>
          <w:sz w:val="28"/>
          <w:szCs w:val="28"/>
        </w:rPr>
      </w:pPr>
      <w:r>
        <w:rPr>
          <w:rFonts w:hint="eastAsia" w:ascii="宋体" w:hAnsi="宋体" w:eastAsia="宋体" w:cs="宋体"/>
          <w:sz w:val="28"/>
          <w:szCs w:val="28"/>
        </w:rPr>
        <w:t>系统必须遵守《教育管理信息化标准》和《高等学校管理信息标准》等信息化标准，并符合学校最新制定的信息标准。</w:t>
      </w:r>
    </w:p>
    <w:p>
      <w:pPr>
        <w:ind w:firstLine="630" w:firstLineChars="225"/>
        <w:rPr>
          <w:rFonts w:hint="eastAsia" w:ascii="宋体" w:hAnsi="宋体" w:eastAsia="宋体" w:cs="宋体"/>
          <w:sz w:val="28"/>
          <w:szCs w:val="28"/>
        </w:rPr>
      </w:pPr>
      <w:r>
        <w:rPr>
          <w:rFonts w:hint="eastAsia" w:ascii="宋体" w:hAnsi="宋体" w:eastAsia="宋体" w:cs="宋体"/>
          <w:sz w:val="28"/>
          <w:szCs w:val="28"/>
        </w:rPr>
        <w:t>10.系统管理</w:t>
      </w:r>
      <w:r>
        <w:rPr>
          <w:rFonts w:hint="eastAsia" w:ascii="宋体" w:hAnsi="宋体" w:eastAsia="宋体" w:cs="宋体"/>
          <w:sz w:val="28"/>
          <w:szCs w:val="28"/>
        </w:rPr>
        <w:tab/>
      </w:r>
      <w:r>
        <w:rPr>
          <w:rFonts w:hint="eastAsia" w:ascii="宋体" w:hAnsi="宋体" w:eastAsia="宋体" w:cs="宋体"/>
          <w:sz w:val="28"/>
          <w:szCs w:val="28"/>
        </w:rPr>
        <w:t>具备系统管理员维护功能：数据字典、控制参数、权限维护、数据库维护、数据导入、数据更新、数据备份恢复、操作日志、系统更新日志。</w:t>
      </w:r>
    </w:p>
    <w:p>
      <w:pPr>
        <w:ind w:firstLine="630" w:firstLineChars="225"/>
        <w:rPr>
          <w:rFonts w:hint="eastAsia" w:ascii="宋体" w:hAnsi="宋体" w:eastAsia="宋体" w:cs="宋体"/>
          <w:sz w:val="28"/>
          <w:szCs w:val="28"/>
        </w:rPr>
      </w:pPr>
      <w:r>
        <w:rPr>
          <w:rFonts w:hint="eastAsia" w:ascii="宋体" w:hAnsi="宋体" w:eastAsia="宋体" w:cs="宋体"/>
          <w:sz w:val="28"/>
          <w:szCs w:val="28"/>
        </w:rPr>
        <w:t>11.用户数</w:t>
      </w:r>
    </w:p>
    <w:p>
      <w:pPr>
        <w:ind w:firstLine="630" w:firstLineChars="225"/>
        <w:rPr>
          <w:rFonts w:hint="eastAsia" w:ascii="宋体" w:hAnsi="宋体" w:eastAsia="宋体" w:cs="宋体"/>
          <w:sz w:val="28"/>
          <w:szCs w:val="28"/>
        </w:rPr>
      </w:pPr>
      <w:r>
        <w:rPr>
          <w:rFonts w:hint="eastAsia" w:ascii="宋体" w:hAnsi="宋体" w:eastAsia="宋体" w:cs="宋体"/>
          <w:sz w:val="28"/>
          <w:szCs w:val="28"/>
        </w:rPr>
        <w:t>满足管理</w:t>
      </w:r>
      <w:r>
        <w:rPr>
          <w:rFonts w:hint="eastAsia" w:ascii="宋体" w:hAnsi="宋体" w:eastAsia="宋体" w:cs="宋体"/>
          <w:color w:val="00B0F0"/>
          <w:sz w:val="28"/>
          <w:szCs w:val="28"/>
        </w:rPr>
        <w:t>平台&gt;=2万注册用户，同时在线人数&gt;=10000人</w:t>
      </w:r>
      <w:r>
        <w:rPr>
          <w:rFonts w:hint="eastAsia" w:ascii="宋体" w:hAnsi="宋体" w:eastAsia="宋体" w:cs="宋体"/>
          <w:sz w:val="28"/>
          <w:szCs w:val="28"/>
        </w:rPr>
        <w:t>，并能流畅地在线观看视频课程。</w:t>
      </w:r>
    </w:p>
    <w:p>
      <w:pPr>
        <w:ind w:firstLine="632" w:firstLineChars="225"/>
        <w:rPr>
          <w:rFonts w:hint="eastAsia" w:ascii="宋体" w:hAnsi="宋体" w:eastAsia="宋体" w:cs="宋体"/>
          <w:b/>
          <w:sz w:val="28"/>
          <w:szCs w:val="28"/>
        </w:rPr>
      </w:pPr>
      <w:r>
        <w:rPr>
          <w:rFonts w:hint="eastAsia" w:ascii="宋体" w:hAnsi="宋体" w:eastAsia="宋体" w:cs="宋体"/>
          <w:b/>
          <w:sz w:val="28"/>
          <w:szCs w:val="28"/>
        </w:rPr>
        <w:t>（二）服务需求</w:t>
      </w:r>
    </w:p>
    <w:p>
      <w:pPr>
        <w:ind w:firstLine="630" w:firstLineChars="225"/>
        <w:rPr>
          <w:rFonts w:hint="eastAsia" w:ascii="宋体" w:hAnsi="宋体" w:eastAsia="宋体" w:cs="宋体"/>
          <w:sz w:val="28"/>
          <w:szCs w:val="28"/>
        </w:rPr>
      </w:pPr>
      <w:r>
        <w:rPr>
          <w:rFonts w:hint="eastAsia" w:ascii="宋体" w:hAnsi="宋体" w:eastAsia="宋体" w:cs="宋体"/>
          <w:sz w:val="28"/>
          <w:szCs w:val="28"/>
        </w:rPr>
        <w:t>1、中标人的责任包括将其所销售的产品全权托管，安装调试好，并保证其正常运行。</w:t>
      </w:r>
    </w:p>
    <w:p>
      <w:pPr>
        <w:ind w:firstLine="630" w:firstLineChars="225"/>
        <w:rPr>
          <w:rFonts w:hint="eastAsia" w:ascii="宋体" w:hAnsi="宋体" w:eastAsia="宋体" w:cs="宋体"/>
          <w:sz w:val="28"/>
          <w:szCs w:val="28"/>
        </w:rPr>
      </w:pPr>
      <w:r>
        <w:rPr>
          <w:rFonts w:hint="eastAsia" w:ascii="宋体" w:hAnsi="宋体" w:eastAsia="宋体" w:cs="宋体"/>
          <w:sz w:val="28"/>
          <w:szCs w:val="28"/>
        </w:rPr>
        <w:t>2、中标人须免费提供36个月全托管运营服务（以系统验收合格日期为准），包括故障处理、在线答疑、定期回访（每半年不少于1次）、适应性修改、增量性修改、软件更新、版本升级等；</w:t>
      </w:r>
      <w:r>
        <w:rPr>
          <w:rFonts w:hint="eastAsia" w:ascii="宋体" w:hAnsi="宋体" w:eastAsia="宋体" w:cs="宋体"/>
          <w:color w:val="0000FF"/>
          <w:sz w:val="28"/>
          <w:szCs w:val="28"/>
        </w:rPr>
        <w:t>合同期满后,如甲方对乙方提供的资源及服务满意并延续使用，中标人需按同等服务标准继续提供全托管运营服务，除服务费外不产生额外费用（每年服务费用不超过本次合同总金额10%）</w:t>
      </w:r>
      <w:r>
        <w:rPr>
          <w:rFonts w:hint="eastAsia" w:ascii="宋体" w:hAnsi="宋体" w:eastAsia="宋体" w:cs="宋体"/>
          <w:sz w:val="28"/>
          <w:szCs w:val="28"/>
        </w:rPr>
        <w:t>。</w:t>
      </w:r>
    </w:p>
    <w:p>
      <w:pPr>
        <w:ind w:firstLine="630" w:firstLineChars="225"/>
        <w:rPr>
          <w:rFonts w:hint="eastAsia" w:ascii="宋体" w:hAnsi="宋体" w:eastAsia="宋体" w:cs="宋体"/>
          <w:sz w:val="28"/>
          <w:szCs w:val="28"/>
        </w:rPr>
      </w:pPr>
      <w:r>
        <w:rPr>
          <w:rFonts w:hint="eastAsia" w:ascii="宋体" w:hAnsi="宋体" w:eastAsia="宋体" w:cs="宋体"/>
          <w:sz w:val="28"/>
          <w:szCs w:val="28"/>
        </w:rPr>
        <w:t>⑴、中标人需全权托管运营所销售产品，</w:t>
      </w:r>
      <w:r>
        <w:rPr>
          <w:rFonts w:hint="eastAsia" w:ascii="宋体" w:hAnsi="宋体" w:eastAsia="宋体" w:cs="宋体"/>
          <w:color w:val="00B0F0"/>
          <w:sz w:val="28"/>
          <w:szCs w:val="28"/>
        </w:rPr>
        <w:t>保证2万用户正常使用</w:t>
      </w:r>
      <w:r>
        <w:rPr>
          <w:rFonts w:hint="eastAsia" w:ascii="宋体" w:hAnsi="宋体" w:eastAsia="宋体" w:cs="宋体"/>
          <w:sz w:val="28"/>
          <w:szCs w:val="28"/>
        </w:rPr>
        <w:t>产品，免费托管期间所需服务器、流量、人员以及系统维护等费用均由中标人负担。</w:t>
      </w:r>
    </w:p>
    <w:p>
      <w:pPr>
        <w:ind w:firstLine="630" w:firstLineChars="225"/>
        <w:rPr>
          <w:rFonts w:hint="eastAsia" w:ascii="宋体" w:hAnsi="宋体" w:eastAsia="宋体" w:cs="宋体"/>
          <w:sz w:val="28"/>
          <w:szCs w:val="28"/>
        </w:rPr>
      </w:pPr>
      <w:r>
        <w:rPr>
          <w:rFonts w:hint="eastAsia" w:ascii="宋体" w:hAnsi="宋体" w:eastAsia="宋体" w:cs="宋体"/>
          <w:sz w:val="28"/>
          <w:szCs w:val="28"/>
        </w:rPr>
        <w:t>⑵、中标人在接到报障后须2小时内响应，12小时解决故障（如果远程无法解决问题的情况下，必须24小时内派遣技术人员上门解决）。</w:t>
      </w:r>
    </w:p>
    <w:p>
      <w:pPr>
        <w:ind w:firstLine="630" w:firstLineChars="225"/>
        <w:rPr>
          <w:rFonts w:hint="eastAsia" w:ascii="宋体" w:hAnsi="宋体" w:eastAsia="宋体" w:cs="宋体"/>
          <w:sz w:val="28"/>
          <w:szCs w:val="28"/>
        </w:rPr>
      </w:pPr>
      <w:r>
        <w:rPr>
          <w:rFonts w:hint="eastAsia" w:ascii="宋体" w:hAnsi="宋体" w:eastAsia="宋体" w:cs="宋体"/>
          <w:sz w:val="28"/>
          <w:szCs w:val="28"/>
        </w:rPr>
        <w:t>⑶、中标人须按照合同规定的时间，派遣技术人员上门提供现场的项目实施服务。</w:t>
      </w:r>
    </w:p>
    <w:p>
      <w:pPr>
        <w:ind w:firstLine="630" w:firstLineChars="225"/>
        <w:rPr>
          <w:rFonts w:hint="eastAsia" w:ascii="宋体" w:hAnsi="宋体" w:eastAsia="宋体" w:cs="宋体"/>
          <w:sz w:val="28"/>
          <w:szCs w:val="28"/>
        </w:rPr>
      </w:pPr>
      <w:r>
        <w:rPr>
          <w:rFonts w:hint="eastAsia" w:ascii="宋体" w:hAnsi="宋体" w:eastAsia="宋体" w:cs="宋体"/>
          <w:sz w:val="28"/>
          <w:szCs w:val="28"/>
        </w:rPr>
        <w:t>⑷、对于发现的软件自身功能问题，中标人须免费、及时给予圆满解决；在远程维护无法解决问题的情况下，要派遣技术人员上门解决。</w:t>
      </w:r>
    </w:p>
    <w:p>
      <w:pPr>
        <w:ind w:firstLine="630" w:firstLineChars="225"/>
        <w:rPr>
          <w:rFonts w:hint="eastAsia" w:ascii="宋体" w:hAnsi="宋体" w:eastAsia="宋体" w:cs="宋体"/>
          <w:color w:val="FF0000"/>
          <w:sz w:val="28"/>
          <w:szCs w:val="28"/>
        </w:rPr>
      </w:pPr>
      <w:r>
        <w:rPr>
          <w:rFonts w:hint="eastAsia" w:ascii="宋体" w:hAnsi="宋体" w:eastAsia="宋体" w:cs="宋体"/>
          <w:color w:val="FF0000"/>
          <w:sz w:val="28"/>
          <w:szCs w:val="28"/>
        </w:rPr>
        <w:t>3、质保服务期限36个月。</w:t>
      </w:r>
    </w:p>
    <w:p>
      <w:pPr>
        <w:ind w:firstLine="630" w:firstLineChars="225"/>
        <w:rPr>
          <w:rFonts w:hint="eastAsia" w:ascii="宋体" w:hAnsi="宋体" w:eastAsia="宋体" w:cs="宋体"/>
          <w:sz w:val="28"/>
          <w:szCs w:val="28"/>
        </w:rPr>
      </w:pPr>
      <w:r>
        <w:rPr>
          <w:rFonts w:hint="eastAsia" w:ascii="宋体" w:hAnsi="宋体" w:eastAsia="宋体" w:cs="宋体"/>
          <w:sz w:val="28"/>
          <w:szCs w:val="28"/>
        </w:rPr>
        <w:t>4、技术服务：按磋商供应商所谈判产品厂家的技术要求进行服务，磋商供应商提出详细培训计划和安排，所需费用包含在谈判总报价中，并报出单项价格。</w:t>
      </w:r>
    </w:p>
    <w:p>
      <w:pPr>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5、合同期满后，教学科研处负责处理采购方平台系统的交接，交接过程中所涉及费用包含在中标价中。</w:t>
      </w:r>
    </w:p>
    <w:p>
      <w:pPr>
        <w:ind w:firstLine="630" w:firstLineChars="225"/>
        <w:rPr>
          <w:rFonts w:hint="eastAsia" w:ascii="宋体" w:hAnsi="宋体" w:eastAsia="宋体" w:cs="宋体"/>
          <w:sz w:val="28"/>
          <w:szCs w:val="28"/>
        </w:rPr>
      </w:pPr>
      <w:r>
        <w:rPr>
          <w:rFonts w:hint="eastAsia" w:ascii="宋体" w:hAnsi="宋体" w:eastAsia="宋体" w:cs="宋体"/>
          <w:sz w:val="28"/>
          <w:szCs w:val="28"/>
        </w:rPr>
        <w:t>6、本项目报总价，投标报价包含所有年级高职扩招学生线上教学所需的课程教学资源及成绩管理服务费用等为完成本项目所产生的一切费用。采购人后期不予增加任何费用，供应商须自行考虑风险。</w:t>
      </w:r>
    </w:p>
    <w:p>
      <w:pPr>
        <w:ind w:firstLine="630" w:firstLineChars="225"/>
        <w:rPr>
          <w:rFonts w:hint="eastAsia" w:ascii="宋体" w:hAnsi="宋体" w:eastAsia="宋体" w:cs="宋体"/>
          <w:sz w:val="28"/>
          <w:szCs w:val="28"/>
        </w:rPr>
      </w:pPr>
    </w:p>
    <w:p>
      <w:pPr>
        <w:tabs>
          <w:tab w:val="left" w:pos="4747"/>
        </w:tabs>
        <w:bidi w:val="0"/>
        <w:spacing w:after="240" w:afterAutospacing="0"/>
        <w:ind w:firstLine="320" w:firstLineChars="100"/>
        <w:jc w:val="left"/>
        <w:rPr>
          <w:rFonts w:hint="default"/>
          <w:sz w:val="32"/>
          <w:szCs w:val="36"/>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widowControl/>
      <w:suppressLineNumbers w:val="0"/>
      <w:pBdr>
        <w:top w:val="none" w:color="auto" w:sz="0" w:space="0"/>
        <w:left w:val="none" w:color="auto" w:sz="0" w:space="0"/>
        <w:bottom w:val="single" w:color="ECECEC" w:sz="6" w:space="7"/>
        <w:right w:val="none" w:color="auto" w:sz="0" w:space="0"/>
      </w:pBdr>
      <w:shd w:val="clear" w:fill="FFFFFF"/>
      <w:spacing w:before="0" w:beforeAutospacing="0" w:after="0" w:afterAutospacing="0" w:line="390" w:lineRule="atLeast"/>
      <w:ind w:left="0" w:right="0" w:firstLine="0"/>
      <w:jc w:val="both"/>
      <w:rPr>
        <w:rFonts w:ascii="微软雅黑" w:hAnsi="微软雅黑" w:eastAsia="微软雅黑" w:cs="微软雅黑"/>
        <w:b/>
        <w:bCs/>
        <w:i w:val="0"/>
        <w:iCs w:val="0"/>
        <w:caps w:val="0"/>
        <w:color w:val="8F000B"/>
        <w:spacing w:val="0"/>
        <w:sz w:val="33"/>
        <w:szCs w:val="33"/>
      </w:rPr>
    </w:pP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wNzZiY2M2ZGE3ZTlhNzg0MzA3ZGZiZDUzYTJmMDYifQ=="/>
  </w:docVars>
  <w:rsids>
    <w:rsidRoot w:val="0098586C"/>
    <w:rsid w:val="00437597"/>
    <w:rsid w:val="006E4729"/>
    <w:rsid w:val="007E64FC"/>
    <w:rsid w:val="00804666"/>
    <w:rsid w:val="0098586C"/>
    <w:rsid w:val="012F0438"/>
    <w:rsid w:val="01477581"/>
    <w:rsid w:val="09A0136D"/>
    <w:rsid w:val="132179FB"/>
    <w:rsid w:val="1D9349F0"/>
    <w:rsid w:val="2AED63FF"/>
    <w:rsid w:val="2EFC0F71"/>
    <w:rsid w:val="2FD17AAB"/>
    <w:rsid w:val="3A7530B5"/>
    <w:rsid w:val="3B683841"/>
    <w:rsid w:val="3E3F2FBE"/>
    <w:rsid w:val="43A95C8F"/>
    <w:rsid w:val="46E110B6"/>
    <w:rsid w:val="49D62A28"/>
    <w:rsid w:val="5E391484"/>
    <w:rsid w:val="61AA2CEE"/>
    <w:rsid w:val="65D30B92"/>
    <w:rsid w:val="6EEF2846"/>
    <w:rsid w:val="73E01746"/>
    <w:rsid w:val="78373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1"/>
    <w:pPr>
      <w:spacing w:before="150"/>
      <w:ind w:left="768"/>
      <w:jc w:val="both"/>
      <w:outlineLvl w:val="1"/>
    </w:pPr>
    <w:rPr>
      <w:b/>
      <w:bCs/>
      <w:i/>
      <w:sz w:val="25"/>
      <w:szCs w:val="25"/>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rPr>
      <w:sz w:val="18"/>
      <w:szCs w:val="18"/>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Hyperlink"/>
    <w:basedOn w:val="9"/>
    <w:semiHidden/>
    <w:unhideWhenUsed/>
    <w:qFormat/>
    <w:uiPriority w:val="99"/>
    <w:rPr>
      <w:color w:val="0000FF"/>
      <w:u w:val="single"/>
    </w:rPr>
  </w:style>
  <w:style w:type="paragraph" w:customStyle="1" w:styleId="11">
    <w:name w:val="正"/>
    <w:basedOn w:val="1"/>
    <w:qFormat/>
    <w:uiPriority w:val="0"/>
    <w:pPr>
      <w:tabs>
        <w:tab w:val="left" w:pos="-120"/>
      </w:tabs>
      <w:adjustRightInd w:val="0"/>
      <w:spacing w:line="560" w:lineRule="exact"/>
      <w:ind w:firstLine="600"/>
      <w:textAlignment w:val="baseline"/>
    </w:pPr>
    <w:rPr>
      <w:rFonts w:ascii="仿宋_GB2312" w:hAnsi="Times New Roman" w:eastAsia="仿宋_GB2312" w:cs="Times New Roman"/>
      <w:color w:val="000000"/>
      <w:spacing w:val="20"/>
      <w:sz w:val="28"/>
      <w:szCs w:val="28"/>
    </w:rPr>
  </w:style>
  <w:style w:type="character" w:customStyle="1" w:styleId="12">
    <w:name w:val="批注框文本 Char"/>
    <w:basedOn w:val="9"/>
    <w:link w:val="4"/>
    <w:semiHidden/>
    <w:qFormat/>
    <w:uiPriority w:val="99"/>
    <w:rPr>
      <w:sz w:val="18"/>
      <w:szCs w:val="18"/>
    </w:rPr>
  </w:style>
  <w:style w:type="character" w:customStyle="1" w:styleId="13">
    <w:name w:val="font01"/>
    <w:basedOn w:val="9"/>
    <w:qFormat/>
    <w:uiPriority w:val="0"/>
    <w:rPr>
      <w:rFonts w:hint="eastAsia" w:ascii="宋体" w:hAnsi="宋体" w:eastAsia="宋体" w:cs="宋体"/>
      <w:color w:val="000000"/>
      <w:sz w:val="24"/>
      <w:szCs w:val="24"/>
      <w:u w:val="none"/>
    </w:rPr>
  </w:style>
  <w:style w:type="paragraph" w:customStyle="1" w:styleId="14">
    <w:name w:val="p_text_indent_2"/>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Words>
  <Characters>3</Characters>
  <Lines>1</Lines>
  <Paragraphs>1</Paragraphs>
  <TotalTime>0</TotalTime>
  <ScaleCrop>false</ScaleCrop>
  <LinksUpToDate>false</LinksUpToDate>
  <CharactersWithSpaces>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2022-11-02T07:54:00Z</dcterms:created>
  <dc:creator>lenovo</dc:creator>
  <cp:lastModifiedBy>''''华北浪子 .....</cp:lastModifiedBy>
  <cp:lastPrinted>2022-11-25T01:16:00Z</cp:lastPrinted>
  <dcterms:modified xsi:type="dcterms:W3CDTF">2023-11-15T00:38:44Z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DD065A9936B44C179A4EF205F74A71EC_13</vt:lpwstr>
  </property>
</Properties>
</file>